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FD05CE" w14:textId="77777777" w:rsidR="007115CF" w:rsidRDefault="002B2257" w:rsidP="00527476">
      <w:pPr>
        <w:pStyle w:val="Header"/>
        <w:jc w:val="center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>
        <w:rPr>
          <w:b/>
          <w:sz w:val="24"/>
          <w:szCs w:val="24"/>
        </w:rPr>
        <w:softHyphen/>
      </w:r>
      <w:bookmarkEnd w:id="0"/>
      <w:bookmarkEnd w:id="1"/>
      <w:bookmarkEnd w:id="2"/>
      <w:bookmarkEnd w:id="3"/>
      <w:bookmarkEnd w:id="4"/>
      <w:bookmarkEnd w:id="5"/>
    </w:p>
    <w:p w14:paraId="59D49523" w14:textId="77777777" w:rsidR="007115CF" w:rsidRDefault="007115CF" w:rsidP="00925F5C">
      <w:pPr>
        <w:pStyle w:val="Heading2"/>
        <w:numPr>
          <w:ilvl w:val="0"/>
          <w:numId w:val="0"/>
        </w:numPr>
        <w:jc w:val="center"/>
      </w:pPr>
      <w:bookmarkStart w:id="6" w:name="_Toc493159384"/>
      <w:bookmarkStart w:id="7" w:name="_Toc493421344"/>
      <w:bookmarkStart w:id="8" w:name="_Toc495409022"/>
      <w:r>
        <w:t>H</w:t>
      </w:r>
      <w:r w:rsidR="00DC53C8">
        <w:t>S</w:t>
      </w:r>
      <w:r>
        <w:t>SE Electrical Safety Assessment Checklist</w:t>
      </w:r>
      <w:bookmarkEnd w:id="6"/>
      <w:bookmarkEnd w:id="7"/>
      <w:bookmarkEnd w:id="8"/>
    </w:p>
    <w:p w14:paraId="4B6A4FBB" w14:textId="77777777" w:rsidR="00527476" w:rsidRPr="00527476" w:rsidRDefault="00527476" w:rsidP="00527476"/>
    <w:tbl>
      <w:tblPr>
        <w:tblW w:w="5316" w:type="pct"/>
        <w:tblLayout w:type="fixed"/>
        <w:tblLook w:val="0000" w:firstRow="0" w:lastRow="0" w:firstColumn="0" w:lastColumn="0" w:noHBand="0" w:noVBand="0"/>
      </w:tblPr>
      <w:tblGrid>
        <w:gridCol w:w="10214"/>
      </w:tblGrid>
      <w:tr w:rsidR="007115CF" w:rsidRPr="00E8211C" w14:paraId="31160301" w14:textId="77777777" w:rsidTr="004921A7">
        <w:trPr>
          <w:cantSplit/>
          <w:trHeight w:val="20"/>
          <w:tblHeader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4881A7FA" w14:textId="77777777" w:rsidR="007115CF" w:rsidRPr="00E8211C" w:rsidRDefault="007115CF" w:rsidP="004921A7">
            <w:pPr>
              <w:spacing w:before="120" w:after="120"/>
              <w:ind w:left="1350" w:hanging="1350"/>
              <w:jc w:val="left"/>
              <w:rPr>
                <w:rFonts w:cs="Arial"/>
                <w:b/>
                <w:bCs/>
              </w:rPr>
            </w:pPr>
            <w:r w:rsidRPr="00E8211C">
              <w:rPr>
                <w:rFonts w:cs="Arial"/>
                <w:b/>
                <w:bCs/>
              </w:rPr>
              <w:t>DIRECTIONS:</w:t>
            </w:r>
            <w:r w:rsidRPr="00E8211C">
              <w:rPr>
                <w:rFonts w:cs="Arial"/>
              </w:rPr>
              <w:t xml:space="preserve"> </w:t>
            </w:r>
            <w:r w:rsidRPr="00E8211C">
              <w:rPr>
                <w:rFonts w:cs="Arial"/>
                <w:color w:val="FF0000"/>
                <w:sz w:val="18"/>
                <w:szCs w:val="18"/>
              </w:rPr>
              <w:t>Check either “YES,” “NO,” or “N/A.” If corrective action is required, answer “NO.” For every “NO” answer, provide a brief description of the issue in the “COMMENTS” column. Add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the finding / issue to the HSE</w:t>
            </w:r>
            <w:r w:rsidRPr="00E8211C">
              <w:rPr>
                <w:rFonts w:cs="Arial"/>
                <w:color w:val="FF0000"/>
                <w:sz w:val="18"/>
                <w:szCs w:val="18"/>
              </w:rPr>
              <w:t xml:space="preserve"> Tracking Register.</w:t>
            </w:r>
          </w:p>
        </w:tc>
      </w:tr>
    </w:tbl>
    <w:p w14:paraId="347E0765" w14:textId="77777777" w:rsidR="007115CF" w:rsidRPr="002319DA" w:rsidRDefault="007115CF" w:rsidP="007115CF">
      <w:pPr>
        <w:rPr>
          <w:sz w:val="2"/>
          <w:szCs w:val="2"/>
        </w:rPr>
      </w:pPr>
    </w:p>
    <w:tbl>
      <w:tblPr>
        <w:tblW w:w="5316" w:type="pct"/>
        <w:tblLayout w:type="fixed"/>
        <w:tblLook w:val="0000" w:firstRow="0" w:lastRow="0" w:firstColumn="0" w:lastColumn="0" w:noHBand="0" w:noVBand="0"/>
      </w:tblPr>
      <w:tblGrid>
        <w:gridCol w:w="559"/>
        <w:gridCol w:w="4043"/>
        <w:gridCol w:w="625"/>
        <w:gridCol w:w="566"/>
        <w:gridCol w:w="623"/>
        <w:gridCol w:w="3798"/>
      </w:tblGrid>
      <w:tr w:rsidR="007115CF" w:rsidRPr="00E8211C" w14:paraId="5C307AE3" w14:textId="77777777" w:rsidTr="004921A7">
        <w:trPr>
          <w:cantSplit/>
          <w:trHeight w:val="20"/>
          <w:tblHeader/>
        </w:trPr>
        <w:tc>
          <w:tcPr>
            <w:tcW w:w="274" w:type="pct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EE72D9" w14:textId="77777777" w:rsidR="007115CF" w:rsidRPr="00E8211C" w:rsidRDefault="007115CF" w:rsidP="004921A7">
            <w:pPr>
              <w:ind w:right="-38"/>
              <w:jc w:val="center"/>
              <w:rPr>
                <w:rFonts w:cs="Arial"/>
              </w:rPr>
            </w:pPr>
            <w:r w:rsidRPr="00E8211C">
              <w:rPr>
                <w:rFonts w:cs="Arial"/>
                <w:b/>
              </w:rPr>
              <w:t>No</w:t>
            </w:r>
            <w:r w:rsidRPr="00E8211C">
              <w:rPr>
                <w:rFonts w:cs="Arial"/>
              </w:rPr>
              <w:t>.</w:t>
            </w:r>
          </w:p>
        </w:tc>
        <w:tc>
          <w:tcPr>
            <w:tcW w:w="1979" w:type="pct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B8E1C6" w14:textId="77777777" w:rsidR="007115CF" w:rsidRPr="00E8211C" w:rsidRDefault="007115CF" w:rsidP="004921A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8211C">
              <w:rPr>
                <w:rFonts w:cs="Arial"/>
                <w:b/>
                <w:bCs/>
                <w:sz w:val="22"/>
                <w:szCs w:val="22"/>
              </w:rPr>
              <w:t>Electrical Safety</w:t>
            </w:r>
          </w:p>
        </w:tc>
        <w:tc>
          <w:tcPr>
            <w:tcW w:w="8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A34D5" w14:textId="77777777" w:rsidR="007115CF" w:rsidRPr="00E8211C" w:rsidRDefault="007115CF" w:rsidP="004921A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ANSWER</w:t>
            </w:r>
          </w:p>
        </w:tc>
        <w:tc>
          <w:tcPr>
            <w:tcW w:w="18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9A94C" w14:textId="77777777" w:rsidR="007115CF" w:rsidRPr="00E8211C" w:rsidRDefault="007115CF" w:rsidP="004921A7">
            <w:pPr>
              <w:jc w:val="center"/>
              <w:rPr>
                <w:rFonts w:cs="Arial"/>
                <w:b/>
                <w:bCs/>
              </w:rPr>
            </w:pPr>
            <w:r w:rsidRPr="00E8211C">
              <w:rPr>
                <w:rFonts w:cs="Arial"/>
                <w:b/>
                <w:bCs/>
              </w:rPr>
              <w:t>COMMENTS</w:t>
            </w:r>
          </w:p>
        </w:tc>
      </w:tr>
      <w:tr w:rsidR="007115CF" w:rsidRPr="00E8211C" w14:paraId="403A5671" w14:textId="77777777" w:rsidTr="004921A7">
        <w:trPr>
          <w:cantSplit/>
          <w:trHeight w:val="20"/>
          <w:tblHeader/>
        </w:trPr>
        <w:tc>
          <w:tcPr>
            <w:tcW w:w="274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AE72BBC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1979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8599E6" w14:textId="77777777" w:rsidR="007115CF" w:rsidRPr="00E8211C" w:rsidRDefault="007115CF" w:rsidP="004921A7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1D6DD4CA" w14:textId="77777777" w:rsidR="007115CF" w:rsidRPr="00E8211C" w:rsidRDefault="007115CF" w:rsidP="004921A7">
            <w:pPr>
              <w:ind w:left="-10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7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198900C2" w14:textId="77777777" w:rsidR="007115CF" w:rsidRPr="00E8211C" w:rsidRDefault="007115CF" w:rsidP="004921A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0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37EECEDF" w14:textId="77777777" w:rsidR="007115CF" w:rsidRPr="00E8211C" w:rsidRDefault="007115CF" w:rsidP="004921A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859" w:type="pct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14:paraId="5F8303EC" w14:textId="77777777" w:rsidR="007115CF" w:rsidRPr="00E8211C" w:rsidRDefault="007115CF" w:rsidP="004921A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7115CF" w:rsidRPr="00E8211C" w14:paraId="262981C3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1913017F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92D33D1" w14:textId="77777777" w:rsidR="007115CF" w:rsidRPr="003338BD" w:rsidRDefault="007115CF" w:rsidP="004921A7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1:  120V/240V Single Phase Equipment</w:t>
            </w:r>
          </w:p>
        </w:tc>
      </w:tr>
      <w:tr w:rsidR="007115CF" w:rsidRPr="00E8211C" w14:paraId="5D7A8FC6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2163EF75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E61846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 employees visually inspect receptacles, extension cords and equipment connected by cord and plug before each day’s use (to determine whether there are external defects)?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3DF4D2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E5E964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3777A6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F5D85E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00157655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1EA81E9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869F76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there is evidence of damage, are the damaged items taken out of service and tagged with a defective tool tag?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A04736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D8B830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1ECD8C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C051F8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0ACDF1A3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269492F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2973A8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a test for all circuitry performed on all cords and receptacles that are not part of the permanent wiring system?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46C481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ED65DA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691FA1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EF4F9C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26011CCC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9BBA527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BB7FB7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all electrical equipment plugged into cords and receptacles equipped with a grounding/earthing line?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1F7251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130F0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6F6B23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6DF29C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5ECA5646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3BA7496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1753FD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grounding/earthing tests for electrical equipment plugged into cords/receptacles made, recorded and retained by the electrical department or </w:t>
            </w:r>
            <w:r>
              <w:rPr>
                <w:rFonts w:cs="Arial"/>
              </w:rPr>
              <w:t>HSE</w:t>
            </w:r>
            <w:r w:rsidRPr="00E8211C">
              <w:rPr>
                <w:rFonts w:cs="Arial"/>
              </w:rPr>
              <w:t xml:space="preserve"> Department?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FE0546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1D2BB8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22EACA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962306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49044C6B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135CA502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32EE94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all equipment that undergoes the grounding/earthing test marked with electrician’s tape according to the Color Code Schedule?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F78E18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12D888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099A84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79B43D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3FE7AD8D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4F490EB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7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685E5C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all equipment ground/earth conductor continuity tests and electrical continuity and polarity tests performed before first use of the equipment?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F8EB34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64066D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5769F3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886DC3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1F73D7C2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5F9E0A7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2C25C2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all equipment ground/earth conductor continuity tests and electrical continuity and polarity tests performed at intervals not to exceed 3 months?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B15B12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FF81FA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A35C1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5CF01A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79903B9D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A28FDCD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9D7085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Does all repaired equipment pass the continuity test before being returned to service?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F2905C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98DE6F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9A06F6" w14:textId="77777777" w:rsidR="007115CF" w:rsidRPr="00E8211C" w:rsidRDefault="007115CF" w:rsidP="004921A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0A05DF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14:paraId="6E4528D0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2D4BDCC3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5260FFE0" w14:textId="77777777" w:rsidR="007115CF" w:rsidRPr="003338BD" w:rsidRDefault="007115CF" w:rsidP="004921A7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2:  GFCI/ELCB Requirements</w:t>
            </w:r>
          </w:p>
        </w:tc>
      </w:tr>
      <w:tr w:rsidR="007115CF" w:rsidRPr="00E8211C" w14:paraId="088D871A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6E3B97BD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392850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applicable, are ELCBs/RCDs provided for all 120V, single-phase, 15 and 20 Amp receptacle outlets (or 240V, single-phase, 30 and 40 Amp, as applicable) that are not part of the permanent wiring of a building or structure?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CC929A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0FC6F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80E3AD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AB23E9" w14:textId="77777777" w:rsidR="007115CF" w:rsidRPr="00E8211C" w:rsidRDefault="007115CF" w:rsidP="004921A7">
            <w:pPr>
              <w:jc w:val="left"/>
              <w:rPr>
                <w:rFonts w:cs="Arial"/>
              </w:rPr>
            </w:pPr>
          </w:p>
        </w:tc>
      </w:tr>
      <w:tr w:rsidR="007115CF" w:rsidRPr="00E8211C" w14:paraId="432445A9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884A1AD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3B2A49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</w:t>
            </w:r>
            <w:r w:rsidRPr="00D64B96">
              <w:rPr>
                <w:rFonts w:cs="Arial"/>
              </w:rPr>
              <w:t xml:space="preserve">ELCBs/RCDs </w:t>
            </w:r>
            <w:r w:rsidRPr="00E8211C">
              <w:rPr>
                <w:rFonts w:cs="Arial"/>
              </w:rPr>
              <w:t>provided for lavatory, washroom and change room outlets?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D21474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676920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38D94C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F52F4B" w14:textId="77777777" w:rsidR="007115CF" w:rsidRPr="00E8211C" w:rsidRDefault="007115CF" w:rsidP="004921A7">
            <w:pPr>
              <w:jc w:val="left"/>
              <w:rPr>
                <w:rFonts w:cs="Arial"/>
              </w:rPr>
            </w:pPr>
          </w:p>
        </w:tc>
      </w:tr>
      <w:tr w:rsidR="007115CF" w:rsidRPr="00E8211C" w14:paraId="7781BF10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61913025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F0EDC9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</w:t>
            </w:r>
            <w:r w:rsidRPr="00D64B96">
              <w:rPr>
                <w:rFonts w:cs="Arial"/>
              </w:rPr>
              <w:t>ELCBs/RCDs</w:t>
            </w:r>
            <w:r w:rsidRPr="00E8211C">
              <w:rPr>
                <w:rFonts w:cs="Arial"/>
              </w:rPr>
              <w:t xml:space="preserve"> provided for all areas having a moist or wet atmosphere where electrical equipment or portable electric tools may be used?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DEF28A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0B6CA6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4184F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358024" w14:textId="77777777" w:rsidR="007115CF" w:rsidRPr="00E8211C" w:rsidRDefault="007115CF" w:rsidP="004921A7">
            <w:pPr>
              <w:jc w:val="left"/>
              <w:rPr>
                <w:rFonts w:cs="Arial"/>
              </w:rPr>
            </w:pPr>
          </w:p>
        </w:tc>
      </w:tr>
      <w:tr w:rsidR="007115CF" w:rsidRPr="00E8211C" w14:paraId="4E651F6B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78BCEC9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8C62A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all </w:t>
            </w:r>
            <w:r w:rsidRPr="00D64B96">
              <w:rPr>
                <w:rFonts w:cs="Arial"/>
              </w:rPr>
              <w:t>ELCBs/RCDs</w:t>
            </w:r>
            <w:r w:rsidRPr="00E8211C">
              <w:rPr>
                <w:rFonts w:cs="Arial"/>
              </w:rPr>
              <w:t xml:space="preserve"> inspected and checked as per the qua</w:t>
            </w:r>
            <w:bookmarkStart w:id="9" w:name="_GoBack"/>
            <w:bookmarkEnd w:id="9"/>
            <w:r w:rsidRPr="00E8211C">
              <w:rPr>
                <w:rFonts w:cs="Arial"/>
              </w:rPr>
              <w:t>rterly program?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272E98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33684A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4CE73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E0FD60" w14:textId="77777777" w:rsidR="007115CF" w:rsidRPr="00E8211C" w:rsidRDefault="007115CF" w:rsidP="004921A7">
            <w:pPr>
              <w:jc w:val="left"/>
              <w:rPr>
                <w:rFonts w:cs="Arial"/>
              </w:rPr>
            </w:pPr>
          </w:p>
        </w:tc>
      </w:tr>
      <w:tr w:rsidR="007115CF" w:rsidRPr="00E8211C" w14:paraId="76816AC4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8733A05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lastRenderedPageBreak/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8585BF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inspection documentation maintained by the Electrical Department?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689F24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AE0F1A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864F5C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9F3A04" w14:textId="77777777" w:rsidR="007115CF" w:rsidRPr="00E8211C" w:rsidRDefault="007115CF" w:rsidP="004921A7">
            <w:pPr>
              <w:jc w:val="left"/>
              <w:rPr>
                <w:rFonts w:cs="Arial"/>
              </w:rPr>
            </w:pPr>
          </w:p>
        </w:tc>
      </w:tr>
      <w:tr w:rsidR="007115CF" w:rsidRPr="00E8211C" w14:paraId="2821864A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5DE9CDB3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6D852677" w14:textId="77777777" w:rsidR="007115CF" w:rsidRPr="003338BD" w:rsidRDefault="007115CF" w:rsidP="004921A7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3:  Power Generators</w:t>
            </w:r>
          </w:p>
        </w:tc>
      </w:tr>
      <w:tr w:rsidR="007115CF" w:rsidRPr="00E8211C" w14:paraId="6BFC739A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29297D75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BEAA4D" w14:textId="77777777" w:rsidR="007115CF" w:rsidRPr="00E8211C" w:rsidRDefault="007115CF" w:rsidP="004921A7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generators and welding transformers maintained in good condition?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9819AD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1DC32F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D5CAE7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D5B7E3" w14:textId="77777777" w:rsidR="007115CF" w:rsidRPr="00E8211C" w:rsidRDefault="007115CF" w:rsidP="004921A7">
            <w:pPr>
              <w:jc w:val="left"/>
              <w:rPr>
                <w:rFonts w:cs="Arial"/>
              </w:rPr>
            </w:pPr>
          </w:p>
        </w:tc>
      </w:tr>
      <w:tr w:rsidR="007115CF" w:rsidRPr="00E8211C" w14:paraId="6D1CAD89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EEBC99D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A270D0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fuel tanks located in areas with containment provisions rated to 110% of the total tank contents?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CEC12A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D54DC8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15F694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A16E99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0ECD8451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003A4554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825200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the area around generators maintained free of oil and diesel spills?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90A377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DBEFD0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8BC166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8740CA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46F8DA4F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7D59BF82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14E53F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all rotating components guarded?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AB8803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8DCB1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B5B9ED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AAA13F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502A7A98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3DBDC2B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9A44CC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grounding/earthing provided on all mobile electrical generators?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4E248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DBD70F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D644FF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21CFB6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4FE6EAD3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08ADEE44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9A6067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outlets in good condition with no exposed conductors?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70FDA7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BFA5EB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4CEF54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8643E2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5050CC93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68CB838E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6282D5CC" w14:textId="77777777" w:rsidR="007115CF" w:rsidRPr="003338BD" w:rsidRDefault="007115CF" w:rsidP="004921A7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4:  Distribution</w:t>
            </w:r>
          </w:p>
        </w:tc>
      </w:tr>
      <w:tr w:rsidR="007115CF" w:rsidRPr="00E8211C" w14:paraId="4D047998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6C4F899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81CD38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Do distribution boards have </w:t>
            </w:r>
            <w:r w:rsidRPr="00D64B96">
              <w:rPr>
                <w:rFonts w:cs="Arial"/>
              </w:rPr>
              <w:t>ELCBs/RCDs</w:t>
            </w:r>
            <w:r w:rsidRPr="00E8211C">
              <w:rPr>
                <w:rFonts w:cs="Arial"/>
              </w:rPr>
              <w:t xml:space="preserve"> fitted?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AA835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D313D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D6D770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13BB47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056AF065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FB99E26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F50127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terminal points in an enclosure with feed and outlet cables channeled through the enclosure via rubber/plastic grommets?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3A1DD8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97B7CA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72B5CB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B51EC9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07E3299E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72951167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C99DE5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Does the project prohibit the splicing of cables (i.e., cables will be extended or repaired using the correct fittings)?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BB2F3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0FF0D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97D627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FF72C7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52511C33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0C04666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599324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residential standard cables and fittings prohibited onsite (i.e., do all cables meet a construction standard and are resistant to damage/wear and tear)?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6EAEFD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3BCA6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D05E28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B8F9BA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6D8A3EB4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0CB3C33F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55FEE2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there effective cable management that ensures cables are routed in a manner that does not create an obstruction or trip hazard?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200A60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3B02C2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E585F3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507AF8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66F36C37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6B946B96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F03E6C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the method of cable routing in a manner that does not damage or affect the integrity of the cable?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97827D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75B34D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6C6C29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7E3CE8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25DE5CCC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238B7551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7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205727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main isolation points provided in conspicuous and accessible places in workshop/fabrication areas?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BC4BE2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B7F957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E5491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319999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104DC716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E9ACC42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9AEB1F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cable connections made with industrial explosion-proof fittings (according to applicable codes and standards)?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3AFABA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B16BCB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810364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6BF974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4FA6F71E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2DB58DB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EC9670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 distribution panels carry an Electrical Hazard warning sign?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54081A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C796E1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F3E98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523423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35ED9FC1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536310AA" w14:textId="77777777" w:rsidR="007115CF" w:rsidRPr="00E8211C" w:rsidRDefault="007115CF" w:rsidP="004921A7">
            <w:pPr>
              <w:pageBreakBefore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1A8330A3" w14:textId="77777777" w:rsidR="007115CF" w:rsidRPr="003338BD" w:rsidRDefault="007115CF" w:rsidP="004921A7">
            <w:pPr>
              <w:pageBreakBefore/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5:  Hand Tools</w:t>
            </w:r>
          </w:p>
        </w:tc>
      </w:tr>
      <w:tr w:rsidR="007115CF" w:rsidRPr="00E8211C" w14:paraId="4426FF14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78166DFA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85F8E0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240</w:t>
            </w:r>
            <w:r>
              <w:rPr>
                <w:rFonts w:cs="Arial"/>
              </w:rPr>
              <w:t>V</w:t>
            </w:r>
            <w:r w:rsidRPr="00E8211C">
              <w:rPr>
                <w:rFonts w:cs="Arial"/>
              </w:rPr>
              <w:t xml:space="preserve"> hand tools are used, are they double-insulated?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A94FF7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6D7F1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B240D8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6E790E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14:paraId="781F1015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271478CF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6B6F2B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equipment casings intact with no loose fittings or exposed cables?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94B9E2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ABF73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377981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3D2E1E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14:paraId="34A2DE9A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AB8F801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0F1A4E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plug fittings of an approved industrial type?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70D0F1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0C86A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961A4A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7B8B7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14:paraId="6EB8F1B6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67428984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A28968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hand tools in good condition and are tools subject to preventative maintenance schedules?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7E4FA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C33ABF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B1933E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6A93E8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14:paraId="6225488F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481DC96E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9C5539C" w14:textId="77777777" w:rsidR="007115CF" w:rsidRPr="003338BD" w:rsidRDefault="007115CF" w:rsidP="004921A7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6:  Overhead Transmission Lines</w:t>
            </w:r>
          </w:p>
        </w:tc>
      </w:tr>
      <w:tr w:rsidR="007115CF" w:rsidRPr="00E8211C" w14:paraId="0934AAC3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B5D7B54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511623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Where overhead power transmission lines exist on or adjacent to construction sites or site roads, does the project </w:t>
            </w:r>
            <w:r>
              <w:rPr>
                <w:rFonts w:cs="Arial"/>
              </w:rPr>
              <w:t>HSE</w:t>
            </w:r>
            <w:r w:rsidRPr="00E8211C">
              <w:rPr>
                <w:rFonts w:cs="Arial"/>
              </w:rPr>
              <w:t xml:space="preserve"> Execution Plan contain information describing the methods to be used to prevent contact with the overhead lines?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CB27A4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BC79C5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986771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C50A9B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772A2C35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487B522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3CBF55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Has a risk assessment been conducted to address the overhead lines (e.g., JHA or similar method)?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84DB86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E66DA2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08C469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639A7B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292A9312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27EEF10E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A26D0C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work planned, as far as is practical, to avoid close proximity to the overhead lines and accidental contact?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3E195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5FBA83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82F021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431934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3B5BC076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6158CF56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170E81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Does the supervisor (or electricity provider) specify clearance for given voltages?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9432CC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6D7DF8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868656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DC52A7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7E043289" w14:textId="77777777" w:rsidTr="004921A7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9F34901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4498E9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applicable, if work must occur within the specified restriction areas, has a Hazardous Work Permit been obtained?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AAEB8E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1B4FF2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D6DAF1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9A3C31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14:paraId="3AC3ACE1" w14:textId="77777777" w:rsidTr="004921A7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0213B306" w14:textId="77777777" w:rsidR="007115CF" w:rsidRPr="00E8211C" w:rsidRDefault="007115CF" w:rsidP="004921A7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C7AD65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Has the procedure for working around overhead transmission lines been audited and validated as to implementation within 3 months of the project mobilization?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53C8B9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482132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2E59A6" w14:textId="77777777" w:rsidR="007115CF" w:rsidRPr="00E8211C" w:rsidRDefault="007115CF" w:rsidP="004921A7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321105" w14:textId="77777777" w:rsidR="007115CF" w:rsidRPr="00E8211C" w:rsidRDefault="007115CF" w:rsidP="004921A7">
            <w:pPr>
              <w:spacing w:after="60"/>
              <w:jc w:val="left"/>
              <w:rPr>
                <w:rFonts w:cs="Arial"/>
              </w:rPr>
            </w:pPr>
          </w:p>
        </w:tc>
      </w:tr>
    </w:tbl>
    <w:p w14:paraId="7FCC1930" w14:textId="77777777" w:rsidR="007115CF" w:rsidRDefault="007115CF" w:rsidP="00AD0A2E"/>
    <w:sectPr w:rsidR="007115CF" w:rsidSect="007115C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134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1BC2B" w14:textId="77777777" w:rsidR="00B45543" w:rsidRDefault="00B45543">
      <w:r>
        <w:separator/>
      </w:r>
    </w:p>
    <w:p w14:paraId="7A8CA53E" w14:textId="77777777" w:rsidR="00B45543" w:rsidRDefault="00B45543"/>
  </w:endnote>
  <w:endnote w:type="continuationSeparator" w:id="0">
    <w:p w14:paraId="6BAFB28D" w14:textId="77777777" w:rsidR="00B45543" w:rsidRDefault="00B45543">
      <w:r>
        <w:continuationSeparator/>
      </w:r>
    </w:p>
    <w:p w14:paraId="4E61C5F5" w14:textId="77777777" w:rsidR="00B45543" w:rsidRDefault="00B45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2BBD" w14:textId="77777777" w:rsidR="00BA65E7" w:rsidRPr="0096398D" w:rsidRDefault="00BA65E7" w:rsidP="0096398D">
    <w:pPr>
      <w:pStyle w:val="Footer"/>
      <w:jc w:val="left"/>
      <w:rPr>
        <w:sz w:val="16"/>
        <w:szCs w:val="16"/>
        <w:lang w:val="en-AU"/>
      </w:rPr>
    </w:pPr>
  </w:p>
  <w:p w14:paraId="688654AF" w14:textId="75299404" w:rsidR="00634ED1" w:rsidRPr="00942531" w:rsidRDefault="00634ED1" w:rsidP="00F3729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C9415B" wp14:editId="19DD1DD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F7AB807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07082426"/>
        <w:placeholder>
          <w:docPart w:val="5A9BDB719D2945BFB08B9DCDDF63FFD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EPM-KSS-TP-000038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27114345"/>
        <w:placeholder>
          <w:docPart w:val="65D52986624E406D9CF457D25E0EE62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F3729B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72059873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F3729B"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F3729B"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</w:p>
  <w:p w14:paraId="046BA235" w14:textId="77777777" w:rsidR="00634ED1" w:rsidRPr="00942531" w:rsidRDefault="00634ED1" w:rsidP="00634ED1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2A1602B" w14:textId="04F60828" w:rsidR="00BA65E7" w:rsidRPr="00634ED1" w:rsidRDefault="00634ED1" w:rsidP="00634ED1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118A2" w14:textId="61360F11" w:rsidR="00634ED1" w:rsidRPr="00942531" w:rsidRDefault="00634ED1" w:rsidP="00F3729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CFA09" wp14:editId="75C0FEF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075F5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2829C3D08FBE4848B98349A5D086D0F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EPM-KSS-TP-000038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E9647B8F9040478C9BF3D31A56C877F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F3729B">
          <w:rPr>
            <w:rFonts w:cs="Arial"/>
            <w:color w:val="7A8D95"/>
            <w:sz w:val="16"/>
            <w:szCs w:val="16"/>
          </w:rPr>
          <w:t>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F3729B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F3729B"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</w:p>
  <w:p w14:paraId="5E3ABB18" w14:textId="77777777" w:rsidR="00634ED1" w:rsidRPr="00942531" w:rsidRDefault="00634ED1" w:rsidP="00634ED1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D4E8454" w14:textId="507D68A9" w:rsidR="00BA65E7" w:rsidRPr="00634ED1" w:rsidRDefault="00634ED1" w:rsidP="00634ED1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2749B" w14:textId="77777777" w:rsidR="00B45543" w:rsidRDefault="00B45543">
      <w:r>
        <w:separator/>
      </w:r>
    </w:p>
    <w:p w14:paraId="6A4019B9" w14:textId="77777777" w:rsidR="00B45543" w:rsidRDefault="00B45543"/>
  </w:footnote>
  <w:footnote w:type="continuationSeparator" w:id="0">
    <w:p w14:paraId="6A62C119" w14:textId="77777777" w:rsidR="00B45543" w:rsidRDefault="00B45543">
      <w:r>
        <w:continuationSeparator/>
      </w:r>
    </w:p>
    <w:p w14:paraId="6996D204" w14:textId="77777777" w:rsidR="00B45543" w:rsidRDefault="00B4554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7BA9" w14:textId="77777777" w:rsidR="00BA65E7" w:rsidRDefault="00BA65E7">
    <w:pPr>
      <w:pStyle w:val="Header"/>
    </w:pPr>
  </w:p>
  <w:p w14:paraId="072DE35B" w14:textId="77777777" w:rsidR="00BA65E7" w:rsidRDefault="00BA65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0F99" w14:textId="62A389FA" w:rsidR="00BA65E7" w:rsidRPr="00AC1B11" w:rsidRDefault="00634ED1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36F11BF4" wp14:editId="26F88256">
          <wp:simplePos x="0" y="0"/>
          <wp:positionH relativeFrom="column">
            <wp:posOffset>-644055</wp:posOffset>
          </wp:positionH>
          <wp:positionV relativeFrom="paragraph">
            <wp:posOffset>-381662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D0064" w14:textId="26ACE0C1" w:rsidR="00527476" w:rsidRDefault="00634ED1">
    <w:pPr>
      <w:pStyle w:val="Header"/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513718D7" wp14:editId="52FE2644">
          <wp:simplePos x="0" y="0"/>
          <wp:positionH relativeFrom="page">
            <wp:align>left</wp:align>
          </wp:positionH>
          <wp:positionV relativeFrom="paragraph">
            <wp:posOffset>-381663</wp:posOffset>
          </wp:positionV>
          <wp:extent cx="1435735" cy="62865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289"/>
    <w:multiLevelType w:val="hybridMultilevel"/>
    <w:tmpl w:val="9C9CA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B7683A"/>
    <w:multiLevelType w:val="hybridMultilevel"/>
    <w:tmpl w:val="E430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62B"/>
    <w:multiLevelType w:val="hybridMultilevel"/>
    <w:tmpl w:val="A88EC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F179D"/>
    <w:multiLevelType w:val="hybridMultilevel"/>
    <w:tmpl w:val="859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023A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47A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0D92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01F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257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2619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6253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27476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4ED1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1CD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5CF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51A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04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5F5C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296D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2C9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543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65E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53C8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2BD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3729B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6B3A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C42B67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ProcedureIndent2">
    <w:name w:val="Procedure Indent 2"/>
    <w:basedOn w:val="Normal"/>
    <w:link w:val="ProcedureIndent2Char"/>
    <w:rsid w:val="00BA65E7"/>
    <w:pPr>
      <w:ind w:left="1440"/>
    </w:pPr>
    <w:rPr>
      <w:rFonts w:eastAsia="MS Mincho" w:cs="Arial"/>
      <w:lang w:val="en-AU"/>
    </w:rPr>
  </w:style>
  <w:style w:type="character" w:customStyle="1" w:styleId="ProcedureIndent2Char">
    <w:name w:val="Procedure Indent 2 Char"/>
    <w:link w:val="ProcedureIndent2"/>
    <w:rsid w:val="00BA65E7"/>
    <w:rPr>
      <w:rFonts w:ascii="Arial" w:eastAsia="MS Mincho" w:hAnsi="Arial" w:cs="Arial"/>
      <w:lang w:val="en-AU"/>
    </w:rPr>
  </w:style>
  <w:style w:type="paragraph" w:customStyle="1" w:styleId="TableHead">
    <w:name w:val="Table Head"/>
    <w:next w:val="TableText"/>
    <w:rsid w:val="00BA65E7"/>
    <w:pPr>
      <w:spacing w:before="90" w:after="60"/>
      <w:jc w:val="center"/>
    </w:pPr>
    <w:rPr>
      <w:rFonts w:ascii="Arial" w:hAnsi="Arial"/>
      <w:b/>
    </w:rPr>
  </w:style>
  <w:style w:type="paragraph" w:customStyle="1" w:styleId="TableNotes">
    <w:name w:val="Table Notes"/>
    <w:rsid w:val="00BA65E7"/>
    <w:pPr>
      <w:tabs>
        <w:tab w:val="left" w:pos="2160"/>
      </w:tabs>
      <w:spacing w:before="60"/>
      <w:ind w:left="360"/>
    </w:pPr>
    <w:rPr>
      <w:rFonts w:ascii="Arial Narrow" w:hAnsi="Arial Narrow"/>
      <w:i/>
      <w:sz w:val="18"/>
    </w:rPr>
  </w:style>
  <w:style w:type="paragraph" w:customStyle="1" w:styleId="TableCaption">
    <w:name w:val="Table Caption"/>
    <w:basedOn w:val="BodyText"/>
    <w:next w:val="BodyText"/>
    <w:rsid w:val="00BA65E7"/>
    <w:pPr>
      <w:keepNext/>
      <w:spacing w:after="180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29C3D08FBE4848B98349A5D086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BA145-3554-4264-B8DE-012DDE76221B}"/>
      </w:docPartPr>
      <w:docPartBody>
        <w:p w:rsidR="00D454D4" w:rsidRDefault="00482036" w:rsidP="00482036">
          <w:pPr>
            <w:pStyle w:val="2829C3D08FBE4848B98349A5D086D0F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9647B8F9040478C9BF3D31A56C8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D561-7E21-4C43-9529-E03CDFD4A807}"/>
      </w:docPartPr>
      <w:docPartBody>
        <w:p w:rsidR="00D454D4" w:rsidRDefault="00482036" w:rsidP="00482036">
          <w:pPr>
            <w:pStyle w:val="E9647B8F9040478C9BF3D31A56C877F5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5A9BDB719D2945BFB08B9DCDDF63F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0071-7108-48D5-AA40-94D7F806CA59}"/>
      </w:docPartPr>
      <w:docPartBody>
        <w:p w:rsidR="00D454D4" w:rsidRDefault="00482036" w:rsidP="00482036">
          <w:pPr>
            <w:pStyle w:val="5A9BDB719D2945BFB08B9DCDDF63FFD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5D52986624E406D9CF457D25E0E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0FAD-AEBB-4BEE-AE31-DEEEBA312E41}"/>
      </w:docPartPr>
      <w:docPartBody>
        <w:p w:rsidR="00D454D4" w:rsidRDefault="00482036" w:rsidP="00482036">
          <w:pPr>
            <w:pStyle w:val="65D52986624E406D9CF457D25E0EE62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4E"/>
    <w:rsid w:val="002070A8"/>
    <w:rsid w:val="00482036"/>
    <w:rsid w:val="0094322F"/>
    <w:rsid w:val="00CE5B4E"/>
    <w:rsid w:val="00D454D4"/>
    <w:rsid w:val="00F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B4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036"/>
    <w:rPr>
      <w:color w:val="808080"/>
    </w:rPr>
  </w:style>
  <w:style w:type="paragraph" w:customStyle="1" w:styleId="2829C3D08FBE4848B98349A5D086D0F7">
    <w:name w:val="2829C3D08FBE4848B98349A5D086D0F7"/>
    <w:rsid w:val="00482036"/>
  </w:style>
  <w:style w:type="paragraph" w:customStyle="1" w:styleId="E9647B8F9040478C9BF3D31A56C877F5">
    <w:name w:val="E9647B8F9040478C9BF3D31A56C877F5"/>
    <w:rsid w:val="00482036"/>
  </w:style>
  <w:style w:type="paragraph" w:customStyle="1" w:styleId="5A9BDB719D2945BFB08B9DCDDF63FFDC">
    <w:name w:val="5A9BDB719D2945BFB08B9DCDDF63FFDC"/>
    <w:rsid w:val="00482036"/>
  </w:style>
  <w:style w:type="paragraph" w:customStyle="1" w:styleId="65D52986624E406D9CF457D25E0EE62C">
    <w:name w:val="65D52986624E406D9CF457D25E0EE62C"/>
    <w:rsid w:val="00482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070A-ADFC-4092-9CC6-D1735A0F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C6F4A-7357-4F35-9361-11CEA92D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Electrical Safety Procedure</vt:lpstr>
    </vt:vector>
  </TitlesOfParts>
  <Company>Bechtel/EDS</Company>
  <LinksUpToDate>false</LinksUpToDate>
  <CharactersWithSpaces>5053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Electrical Safety Procedure</dc:title>
  <dc:subject>EPM-KSS-TP-000038</dc:subject>
  <dc:creator>Joel Reyes</dc:creator>
  <cp:keywords>ᅟ</cp:keywords>
  <cp:lastModifiedBy>الاء الزهراني Alaa Alzahrani</cp:lastModifiedBy>
  <cp:revision>6</cp:revision>
  <cp:lastPrinted>2017-10-15T07:38:00Z</cp:lastPrinted>
  <dcterms:created xsi:type="dcterms:W3CDTF">2017-10-18T14:05:00Z</dcterms:created>
  <dcterms:modified xsi:type="dcterms:W3CDTF">2022-04-12T09:57:00Z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